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Resources</w:t>
      </w:r>
      <w:r w:rsidDel="00000000" w:rsidR="00000000" w:rsidRPr="00000000">
        <w:rPr>
          <w:rtl w:val="0"/>
        </w:rPr>
      </w:r>
    </w:p>
    <w:p w:rsidR="00000000" w:rsidDel="00000000" w:rsidP="00000000" w:rsidRDefault="00000000" w:rsidRPr="00000000" w14:paraId="00000002">
      <w:pPr>
        <w:pStyle w:val="Heading1"/>
        <w:numPr>
          <w:ilvl w:val="0"/>
          <w:numId w:val="3"/>
        </w:numPr>
        <w:ind w:left="720" w:hanging="360"/>
        <w:rPr>
          <w:rFonts w:ascii="Calibri" w:cs="Calibri" w:eastAsia="Calibri" w:hAnsi="Calibri"/>
          <w:b w:val="0"/>
          <w:sz w:val="22"/>
          <w:szCs w:val="22"/>
          <w:u w:val="none"/>
        </w:rPr>
      </w:pPr>
      <w:hyperlink r:id="rId7">
        <w:r w:rsidDel="00000000" w:rsidR="00000000" w:rsidRPr="00000000">
          <w:rPr>
            <w:rFonts w:ascii="Calibri" w:cs="Calibri" w:eastAsia="Calibri" w:hAnsi="Calibri"/>
            <w:b w:val="0"/>
            <w:color w:val="1155cc"/>
            <w:sz w:val="22"/>
            <w:szCs w:val="22"/>
            <w:u w:val="single"/>
            <w:rtl w:val="0"/>
          </w:rPr>
          <w:t xml:space="preserve">Intensive Management in Alaska Overview</w:t>
        </w:r>
      </w:hyperlink>
      <w:r w:rsidDel="00000000" w:rsidR="00000000" w:rsidRPr="00000000">
        <w:rPr>
          <w:rtl w:val="0"/>
        </w:rPr>
      </w:r>
    </w:p>
    <w:p w:rsidR="00000000" w:rsidDel="00000000" w:rsidP="00000000" w:rsidRDefault="00000000" w:rsidRPr="00000000" w14:paraId="00000003">
      <w:pPr>
        <w:numPr>
          <w:ilvl w:val="0"/>
          <w:numId w:val="3"/>
        </w:numPr>
        <w:spacing w:after="0" w:afterAutospacing="0"/>
        <w:ind w:left="720" w:hanging="360"/>
        <w:rPr>
          <w:u w:val="none"/>
        </w:rPr>
      </w:pPr>
      <w:hyperlink r:id="rId8">
        <w:r w:rsidDel="00000000" w:rsidR="00000000" w:rsidRPr="00000000">
          <w:rPr>
            <w:color w:val="1155cc"/>
            <w:u w:val="single"/>
            <w:rtl w:val="0"/>
          </w:rPr>
          <w:t xml:space="preserve">Stories of Success - Alaska's intensive management programs incorporate science and action to benefit Alaskans.</w:t>
        </w:r>
      </w:hyperlink>
      <w:r w:rsidDel="00000000" w:rsidR="00000000" w:rsidRPr="00000000">
        <w:rPr>
          <w:rtl w:val="0"/>
        </w:rPr>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r>
    </w:p>
    <w:p w:rsidR="00000000" w:rsidDel="00000000" w:rsidP="00000000" w:rsidRDefault="00000000" w:rsidRPr="00000000" w14:paraId="00000005">
      <w:pPr>
        <w:pStyle w:val="Heading1"/>
        <w:ind w:firstLine="1"/>
        <w:rPr/>
      </w:pPr>
      <w:r w:rsidDel="00000000" w:rsidR="00000000" w:rsidRPr="00000000">
        <w:rPr/>
        <w:drawing>
          <wp:inline distB="114300" distT="114300" distL="114300" distR="114300">
            <wp:extent cx="6494145" cy="2806700"/>
            <wp:effectExtent b="0" l="0" r="0" t="0"/>
            <wp:docPr id="479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494145"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ind w:firstLine="1"/>
        <w:rPr/>
      </w:pPr>
      <w:r w:rsidDel="00000000" w:rsidR="00000000" w:rsidRPr="00000000">
        <w:rPr>
          <w:rtl w:val="0"/>
        </w:rPr>
        <w:t xml:space="preserve">Audience </w:t>
      </w:r>
    </w:p>
    <w:p w:rsidR="00000000" w:rsidDel="00000000" w:rsidP="00000000" w:rsidRDefault="00000000" w:rsidRPr="00000000" w14:paraId="00000007">
      <w:pPr>
        <w:rPr/>
      </w:pPr>
      <w:r w:rsidDel="00000000" w:rsidR="00000000" w:rsidRPr="00000000">
        <w:rPr>
          <w:rtl w:val="0"/>
        </w:rPr>
        <w:t xml:space="preserve">BOG copy to commissioner DVL, copy to governor </w:t>
      </w:r>
      <w:r w:rsidDel="00000000" w:rsidR="00000000" w:rsidRPr="00000000">
        <w:rPr>
          <w:rtl w:val="0"/>
        </w:rPr>
      </w:r>
    </w:p>
    <w:p w:rsidR="00000000" w:rsidDel="00000000" w:rsidP="00000000" w:rsidRDefault="00000000" w:rsidRPr="00000000" w14:paraId="00000008">
      <w:pPr>
        <w:pStyle w:val="Heading1"/>
        <w:ind w:firstLine="1"/>
        <w:rPr/>
      </w:pPr>
      <w:r w:rsidDel="00000000" w:rsidR="00000000" w:rsidRPr="00000000">
        <w:rPr>
          <w:rtl w:val="0"/>
        </w:rPr>
      </w:r>
    </w:p>
    <w:p w:rsidR="00000000" w:rsidDel="00000000" w:rsidP="00000000" w:rsidRDefault="00000000" w:rsidRPr="00000000" w14:paraId="00000009">
      <w:pPr>
        <w:pStyle w:val="Heading1"/>
        <w:ind w:firstLine="1"/>
        <w:rPr/>
      </w:pPr>
      <w:bookmarkStart w:colFirst="0" w:colLast="0" w:name="_heading=h.k8lw6c8hvzsz" w:id="0"/>
      <w:bookmarkEnd w:id="0"/>
      <w:r w:rsidDel="00000000" w:rsidR="00000000" w:rsidRPr="00000000">
        <w:rPr>
          <w:rtl w:val="0"/>
        </w:rPr>
        <w:t xml:space="preserve">What is our ask of them?</w:t>
      </w:r>
    </w:p>
    <w:p w:rsidR="00000000" w:rsidDel="00000000" w:rsidP="00000000" w:rsidRDefault="00000000" w:rsidRPr="00000000" w14:paraId="0000000A">
      <w:pPr>
        <w:rPr/>
      </w:pPr>
      <w:r w:rsidDel="00000000" w:rsidR="00000000" w:rsidRPr="00000000">
        <w:rPr>
          <w:rtl w:val="0"/>
        </w:rPr>
        <w:t xml:space="preserve">pull the plug? require benchmarks? </w:t>
      </w:r>
    </w:p>
    <w:p w:rsidR="00000000" w:rsidDel="00000000" w:rsidP="00000000" w:rsidRDefault="00000000" w:rsidRPr="00000000" w14:paraId="0000000B">
      <w:pPr>
        <w:rPr/>
      </w:pPr>
      <w:r w:rsidDel="00000000" w:rsidR="00000000" w:rsidRPr="00000000">
        <w:rPr>
          <w:rtl w:val="0"/>
        </w:rPr>
        <w:t xml:space="preserve">directly address they ignore the NRC report?</w:t>
      </w:r>
    </w:p>
    <w:p w:rsidR="00000000" w:rsidDel="00000000" w:rsidP="00000000" w:rsidRDefault="00000000" w:rsidRPr="00000000" w14:paraId="0000000C">
      <w:pPr>
        <w:ind w:left="0" w:firstLine="0"/>
        <w:rPr/>
      </w:pPr>
      <w:r w:rsidDel="00000000" w:rsidR="00000000" w:rsidRPr="00000000">
        <w:rPr>
          <w:rtl w:val="0"/>
        </w:rPr>
        <w:t xml:space="preserve">in light of… ask for clarity on how they got here?</w:t>
      </w:r>
    </w:p>
    <w:p w:rsidR="00000000" w:rsidDel="00000000" w:rsidP="00000000" w:rsidRDefault="00000000" w:rsidRPr="00000000" w14:paraId="0000000D">
      <w:pPr>
        <w:ind w:left="0" w:firstLine="0"/>
        <w:rPr/>
      </w:pPr>
      <w:r w:rsidDel="00000000" w:rsidR="00000000" w:rsidRPr="00000000">
        <w:rPr>
          <w:rtl w:val="0"/>
        </w:rPr>
        <w:t xml:space="preserve">prioritize finishing existing research, and publishing under peer review lit</w:t>
      </w:r>
    </w:p>
    <w:p w:rsidR="00000000" w:rsidDel="00000000" w:rsidP="00000000" w:rsidRDefault="00000000" w:rsidRPr="00000000" w14:paraId="0000000E">
      <w:pPr>
        <w:pStyle w:val="Heading1"/>
        <w:ind w:firstLine="1"/>
        <w:rPr/>
      </w:pPr>
      <w:r w:rsidDel="00000000" w:rsidR="00000000" w:rsidRPr="00000000">
        <w:rPr>
          <w:rtl w:val="0"/>
        </w:rPr>
      </w:r>
    </w:p>
    <w:p w:rsidR="00000000" w:rsidDel="00000000" w:rsidP="00000000" w:rsidRDefault="00000000" w:rsidRPr="00000000" w14:paraId="0000000F">
      <w:pPr>
        <w:pStyle w:val="Heading1"/>
        <w:ind w:firstLine="1"/>
        <w:rPr/>
      </w:pPr>
      <w:r w:rsidDel="00000000" w:rsidR="00000000" w:rsidRPr="00000000">
        <w:rPr>
          <w:rtl w:val="0"/>
        </w:rPr>
        <w:t xml:space="preserve">Introduction </w:t>
      </w:r>
    </w:p>
    <w:p w:rsidR="00000000" w:rsidDel="00000000" w:rsidP="00000000" w:rsidRDefault="00000000" w:rsidRPr="00000000" w14:paraId="00000010">
      <w:pPr>
        <w:spacing w:after="240" w:before="240" w:lineRule="auto"/>
        <w:ind w:left="0" w:firstLine="0"/>
        <w:rPr>
          <w:highlight w:val="yellow"/>
        </w:rPr>
      </w:pPr>
      <w:r w:rsidDel="00000000" w:rsidR="00000000" w:rsidRPr="00000000">
        <w:rPr>
          <w:rtl w:val="0"/>
        </w:rPr>
        <w:t xml:space="preserve">The Wildlife Society (TWS) was founded in 1937 and is a non-profit scientific and educational association …</w:t>
      </w:r>
      <w:r w:rsidDel="00000000" w:rsidR="00000000" w:rsidRPr="00000000">
        <w:rPr>
          <w:rtl w:val="0"/>
        </w:rPr>
      </w:r>
    </w:p>
    <w:p w:rsidR="00000000" w:rsidDel="00000000" w:rsidP="00000000" w:rsidRDefault="00000000" w:rsidRPr="00000000" w14:paraId="00000011">
      <w:pPr>
        <w:pStyle w:val="Heading2"/>
        <w:ind w:left="-4" w:firstLine="1.0000000000000009"/>
        <w:rPr/>
      </w:pPr>
      <w:r w:rsidDel="00000000" w:rsidR="00000000" w:rsidRPr="00000000">
        <w:rPr>
          <w:rtl w:val="0"/>
        </w:rPr>
      </w:r>
    </w:p>
    <w:p w:rsidR="00000000" w:rsidDel="00000000" w:rsidP="00000000" w:rsidRDefault="00000000" w:rsidRPr="00000000" w14:paraId="00000012">
      <w:pPr>
        <w:pStyle w:val="Heading2"/>
        <w:ind w:left="-4" w:firstLine="1.0000000000000009"/>
        <w:rPr/>
      </w:pPr>
      <w:r w:rsidDel="00000000" w:rsidR="00000000" w:rsidRPr="00000000">
        <w:rPr>
          <w:rtl w:val="0"/>
        </w:rPr>
        <w:t xml:space="preserve">Background</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13">
      <w:pPr>
        <w:spacing w:after="35" w:line="259" w:lineRule="auto"/>
        <w:ind w:left="1" w:firstLine="0"/>
        <w:rPr/>
      </w:pPr>
      <w:r w:rsidDel="00000000" w:rsidR="00000000" w:rsidRPr="00000000">
        <w:rPr>
          <w:rtl w:val="0"/>
        </w:rPr>
        <w:t xml:space="preserve">Mulchatna Caribou on the decline, yadda yadda yadda</w:t>
      </w:r>
    </w:p>
    <w:p w:rsidR="00000000" w:rsidDel="00000000" w:rsidP="00000000" w:rsidRDefault="00000000" w:rsidRPr="00000000" w14:paraId="00000014">
      <w:pPr>
        <w:spacing w:after="35" w:line="259" w:lineRule="auto"/>
        <w:ind w:left="1" w:firstLine="0"/>
        <w:rPr/>
      </w:pPr>
      <w:r w:rsidDel="00000000" w:rsidR="00000000" w:rsidRPr="00000000">
        <w:rPr>
          <w:rtl w:val="0"/>
        </w:rPr>
        <w:t xml:space="preserve">Predator prey dynamics  intro</w:t>
      </w:r>
    </w:p>
    <w:p w:rsidR="00000000" w:rsidDel="00000000" w:rsidP="00000000" w:rsidRDefault="00000000" w:rsidRPr="00000000" w14:paraId="00000015">
      <w:pPr>
        <w:spacing w:after="35" w:line="259" w:lineRule="auto"/>
        <w:ind w:left="1" w:firstLine="0"/>
        <w:rPr/>
      </w:pPr>
      <w:r w:rsidDel="00000000" w:rsidR="00000000" w:rsidRPr="00000000">
        <w:rPr>
          <w:rtl w:val="0"/>
        </w:rPr>
      </w:r>
    </w:p>
    <w:p w:rsidR="00000000" w:rsidDel="00000000" w:rsidP="00000000" w:rsidRDefault="00000000" w:rsidRPr="00000000" w14:paraId="00000016">
      <w:pPr>
        <w:pStyle w:val="Heading2"/>
        <w:ind w:left="-4" w:firstLine="1.0000000000000009"/>
        <w:rPr/>
      </w:pPr>
      <w:r w:rsidDel="00000000" w:rsidR="00000000" w:rsidRPr="00000000">
        <w:rPr>
          <w:rtl w:val="0"/>
        </w:rPr>
        <w:t xml:space="preserve">Predator Control, Ungulate Management, and Science </w:t>
      </w:r>
    </w:p>
    <w:p w:rsidR="00000000" w:rsidDel="00000000" w:rsidP="00000000" w:rsidRDefault="00000000" w:rsidRPr="00000000" w14:paraId="00000017">
      <w:pPr>
        <w:rPr/>
      </w:pPr>
      <w:r w:rsidDel="00000000" w:rsidR="00000000" w:rsidRPr="00000000">
        <w:rPr>
          <w:rtl w:val="0"/>
        </w:rPr>
        <w:t xml:space="preserve">Failure to adhere to recommendations made in the NRC review</w:t>
      </w:r>
      <w:r w:rsidDel="00000000" w:rsidR="00000000" w:rsidRPr="00000000">
        <w:rPr>
          <w:rtl w:val="0"/>
        </w:rPr>
      </w:r>
    </w:p>
    <w:p w:rsidR="00000000" w:rsidDel="00000000" w:rsidP="00000000" w:rsidRDefault="00000000" w:rsidRPr="00000000" w14:paraId="00000018">
      <w:pPr>
        <w:numPr>
          <w:ilvl w:val="0"/>
          <w:numId w:val="1"/>
        </w:numPr>
        <w:spacing w:after="0" w:afterAutospacing="0"/>
        <w:ind w:left="720" w:hanging="360"/>
        <w:rPr>
          <w:u w:val="none"/>
        </w:rPr>
      </w:pPr>
      <w:r w:rsidDel="00000000" w:rsidR="00000000" w:rsidRPr="00000000">
        <w:rPr>
          <w:rtl w:val="0"/>
        </w:rPr>
        <w:t xml:space="preserve">Literally could not have followed it because nothing was known about range quality (i.e., predator control will NOT work if adequate range doesn’t exist) and bog never considered habitat, well, at all.</w:t>
      </w:r>
    </w:p>
    <w:p w:rsidR="00000000" w:rsidDel="00000000" w:rsidP="00000000" w:rsidRDefault="00000000" w:rsidRPr="00000000" w14:paraId="00000019">
      <w:pPr>
        <w:numPr>
          <w:ilvl w:val="0"/>
          <w:numId w:val="1"/>
        </w:numPr>
        <w:spacing w:after="0" w:afterAutospacing="0"/>
        <w:ind w:left="720" w:hanging="360"/>
        <w:rPr>
          <w:u w:val="none"/>
        </w:rPr>
      </w:pPr>
      <w:r w:rsidDel="00000000" w:rsidR="00000000" w:rsidRPr="00000000">
        <w:rPr>
          <w:rtl w:val="0"/>
        </w:rPr>
        <w:t xml:space="preserve">also, without knowing anything defensible about bear density, how could adfg know when “enough” of them had been killed (following NRC recommendations)?</w:t>
      </w:r>
    </w:p>
    <w:p w:rsidR="00000000" w:rsidDel="00000000" w:rsidP="00000000" w:rsidRDefault="00000000" w:rsidRPr="00000000" w14:paraId="0000001A">
      <w:pPr>
        <w:numPr>
          <w:ilvl w:val="0"/>
          <w:numId w:val="1"/>
        </w:numPr>
        <w:spacing w:after="0" w:afterAutospacing="0"/>
        <w:ind w:left="720" w:hanging="360"/>
        <w:rPr>
          <w:u w:val="none"/>
        </w:rPr>
      </w:pPr>
      <w:r w:rsidDel="00000000" w:rsidR="00000000" w:rsidRPr="00000000">
        <w:rPr>
          <w:rtl w:val="0"/>
        </w:rPr>
        <w:t xml:space="preserve">2009 ADFG set parameters for IM to follow, these include: blah blah blah identify a need, make a plan, “intense research, public opinion, and the law” </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transparent process guided by law and public input.</w:t>
      </w:r>
      <w:r w:rsidDel="00000000" w:rsidR="00000000" w:rsidRPr="00000000">
        <w:rPr>
          <w:rtl w:val="0"/>
        </w:rPr>
      </w:r>
    </w:p>
    <w:p w:rsidR="00000000" w:rsidDel="00000000" w:rsidP="00000000" w:rsidRDefault="00000000" w:rsidRPr="00000000" w14:paraId="0000001C">
      <w:pPr>
        <w:spacing w:after="0" w:line="259" w:lineRule="auto"/>
        <w:ind w:left="0" w:firstLine="0"/>
        <w:rPr/>
      </w:pPr>
      <w:r w:rsidDel="00000000" w:rsidR="00000000" w:rsidRPr="00000000">
        <w:rPr>
          <w:rtl w:val="0"/>
        </w:rPr>
      </w:r>
    </w:p>
    <w:p w:rsidR="00000000" w:rsidDel="00000000" w:rsidP="00000000" w:rsidRDefault="00000000" w:rsidRPr="00000000" w14:paraId="0000001D">
      <w:pPr>
        <w:spacing w:after="0" w:line="259" w:lineRule="auto"/>
        <w:ind w:left="721" w:firstLine="0"/>
        <w:rPr/>
      </w:pPr>
      <w:r w:rsidDel="00000000" w:rsidR="00000000" w:rsidRPr="00000000">
        <w:rPr>
          <w:rtl w:val="0"/>
        </w:rPr>
        <w:t xml:space="preserve">  </w:t>
      </w:r>
    </w:p>
    <w:p w:rsidR="00000000" w:rsidDel="00000000" w:rsidP="00000000" w:rsidRDefault="00000000" w:rsidRPr="00000000" w14:paraId="0000001E">
      <w:pPr>
        <w:pStyle w:val="Heading2"/>
        <w:ind w:left="-4" w:firstLine="1.0000000000000009"/>
        <w:rPr/>
      </w:pPr>
      <w:r w:rsidDel="00000000" w:rsidR="00000000" w:rsidRPr="00000000">
        <w:rPr>
          <w:rtl w:val="0"/>
        </w:rPr>
        <w:t xml:space="preserve">Legal Concerns/public involvement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ind w:left="-4" w:firstLine="1.0000000000000009"/>
        <w:rPr/>
      </w:pPr>
      <w:bookmarkStart w:colFirst="0" w:colLast="0" w:name="_heading=h.wd5sfp22u0l1" w:id="1"/>
      <w:bookmarkEnd w:id="1"/>
      <w:r w:rsidDel="00000000" w:rsidR="00000000" w:rsidRPr="00000000">
        <w:rPr>
          <w:rtl w:val="0"/>
        </w:rPr>
        <w:t xml:space="preserve">what was the plan?  did ADFG follow a plan?  benchmarks? nothing?</w:t>
      </w:r>
    </w:p>
    <w:p w:rsidR="00000000" w:rsidDel="00000000" w:rsidP="00000000" w:rsidRDefault="00000000" w:rsidRPr="00000000" w14:paraId="00000021">
      <w:pPr>
        <w:numPr>
          <w:ilvl w:val="0"/>
          <w:numId w:val="2"/>
        </w:numPr>
        <w:spacing w:after="0" w:afterAutospacing="0"/>
        <w:ind w:left="720" w:hanging="360"/>
        <w:rPr>
          <w:u w:val="none"/>
        </w:rPr>
      </w:pPr>
      <w:r w:rsidDel="00000000" w:rsidR="00000000" w:rsidRPr="00000000">
        <w:rPr>
          <w:rtl w:val="0"/>
        </w:rPr>
        <w:t xml:space="preserve">no public involvement</w:t>
      </w:r>
    </w:p>
    <w:p w:rsidR="00000000" w:rsidDel="00000000" w:rsidP="00000000" w:rsidRDefault="00000000" w:rsidRPr="00000000" w14:paraId="00000022">
      <w:pPr>
        <w:numPr>
          <w:ilvl w:val="0"/>
          <w:numId w:val="2"/>
        </w:numPr>
        <w:spacing w:after="0" w:afterAutospacing="0"/>
        <w:ind w:left="720" w:hanging="360"/>
        <w:rPr>
          <w:u w:val="none"/>
        </w:rPr>
      </w:pPr>
      <w:r w:rsidDel="00000000" w:rsidR="00000000" w:rsidRPr="00000000">
        <w:rPr>
          <w:rtl w:val="0"/>
        </w:rPr>
        <w:t xml:space="preserve">no analysis and recommendation by the state (could this be a requirement?)</w:t>
      </w:r>
    </w:p>
    <w:p w:rsidR="00000000" w:rsidDel="00000000" w:rsidP="00000000" w:rsidRDefault="00000000" w:rsidRPr="00000000" w14:paraId="00000023">
      <w:pPr>
        <w:numPr>
          <w:ilvl w:val="0"/>
          <w:numId w:val="2"/>
        </w:numPr>
        <w:spacing w:after="0" w:afterAutospacing="0"/>
        <w:ind w:left="720" w:hanging="360"/>
        <w:rPr>
          <w:u w:val="none"/>
        </w:rPr>
      </w:pPr>
      <w:r w:rsidDel="00000000" w:rsidR="00000000" w:rsidRPr="00000000">
        <w:rPr>
          <w:rtl w:val="0"/>
        </w:rPr>
        <w:t xml:space="preserve">effectively a new proposal, “amended” old proposal to completely change species, area, technique, existing data</w:t>
      </w:r>
    </w:p>
    <w:p w:rsidR="00000000" w:rsidDel="00000000" w:rsidP="00000000" w:rsidRDefault="00000000" w:rsidRPr="00000000" w14:paraId="00000024">
      <w:pPr>
        <w:numPr>
          <w:ilvl w:val="0"/>
          <w:numId w:val="2"/>
        </w:numPr>
        <w:spacing w:after="0" w:afterAutospacing="0"/>
        <w:ind w:left="720" w:hanging="360"/>
        <w:rPr>
          <w:u w:val="none"/>
        </w:rPr>
      </w:pPr>
      <w:r w:rsidDel="00000000" w:rsidR="00000000" w:rsidRPr="00000000">
        <w:rPr>
          <w:rtl w:val="0"/>
        </w:rPr>
        <w:t xml:space="preserve">overtly ignored the best available science (bring in quotes from Demma/Renae’s presentation?)</w:t>
      </w:r>
    </w:p>
    <w:p w:rsidR="00000000" w:rsidDel="00000000" w:rsidP="00000000" w:rsidRDefault="00000000" w:rsidRPr="00000000" w14:paraId="00000025">
      <w:pPr>
        <w:numPr>
          <w:ilvl w:val="0"/>
          <w:numId w:val="2"/>
        </w:numPr>
        <w:spacing w:after="0" w:afterAutospacing="0"/>
        <w:ind w:left="720" w:hanging="360"/>
        <w:rPr>
          <w:u w:val="none"/>
        </w:rPr>
      </w:pPr>
      <w:r w:rsidDel="00000000" w:rsidR="00000000" w:rsidRPr="00000000">
        <w:rPr>
          <w:rtl w:val="0"/>
        </w:rPr>
        <w:t xml:space="preserve">No part of the IM plan was followed.  Not the area affected, not the number of predators killed, not the harvest of carcasses, no samples for disease monitoring were collected first year, nor the monitoring of effects, nor calf survival monitoring (first year; 3 caught, one died from it)</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r>
    </w:p>
    <w:p w:rsidR="00000000" w:rsidDel="00000000" w:rsidP="00000000" w:rsidRDefault="00000000" w:rsidRPr="00000000" w14:paraId="00000027">
      <w:pPr>
        <w:pStyle w:val="Heading2"/>
        <w:ind w:left="-4" w:firstLine="1.0000000000000009"/>
        <w:rPr/>
      </w:pPr>
      <w:bookmarkStart w:colFirst="0" w:colLast="0" w:name="_heading=h.ab10k218hszr" w:id="2"/>
      <w:bookmarkEnd w:id="2"/>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pStyle w:val="Heading2"/>
        <w:ind w:left="-4" w:firstLine="1.0000000000000009"/>
        <w:rPr/>
      </w:pPr>
      <w:bookmarkStart w:colFirst="0" w:colLast="0" w:name="_heading=h.bac18nrcerrx" w:id="3"/>
      <w:bookmarkEnd w:id="3"/>
      <w:r w:rsidDel="00000000" w:rsidR="00000000" w:rsidRPr="00000000">
        <w:rPr>
          <w:rtl w:val="0"/>
        </w:rPr>
        <w:t xml:space="preserve">Recommendations?</w:t>
      </w:r>
    </w:p>
    <w:p w:rsidR="00000000" w:rsidDel="00000000" w:rsidP="00000000" w:rsidRDefault="00000000" w:rsidRPr="00000000" w14:paraId="0000002A">
      <w:pPr>
        <w:rPr/>
      </w:pPr>
      <w:r w:rsidDel="00000000" w:rsidR="00000000" w:rsidRPr="00000000">
        <w:rPr>
          <w:rtl w:val="0"/>
        </w:rPr>
        <w:t xml:space="preserve">if you do this, treat it like an experiment, gather data, have thresholds and benchmarks, be transparent, etc</w:t>
      </w:r>
    </w:p>
    <w:p w:rsidR="00000000" w:rsidDel="00000000" w:rsidP="00000000" w:rsidRDefault="00000000" w:rsidRPr="00000000" w14:paraId="0000002B">
      <w:pPr>
        <w:rPr/>
      </w:pPr>
      <w:r w:rsidDel="00000000" w:rsidR="00000000" w:rsidRPr="00000000">
        <w:rPr>
          <w:rtl w:val="0"/>
        </w:rPr>
        <w:t xml:space="preserve">as you know, alaska is big on saying science first–work that in somewhere</w:t>
      </w:r>
    </w:p>
    <w:p w:rsidR="00000000" w:rsidDel="00000000" w:rsidP="00000000" w:rsidRDefault="00000000" w:rsidRPr="00000000" w14:paraId="0000002C">
      <w:pPr>
        <w:pStyle w:val="Heading2"/>
        <w:ind w:left="-4" w:firstLine="1.0000000000000009"/>
        <w:rPr/>
      </w:pPr>
      <w:r w:rsidDel="00000000" w:rsidR="00000000" w:rsidRPr="00000000">
        <w:rPr>
          <w:rtl w:val="0"/>
        </w:rPr>
      </w:r>
    </w:p>
    <w:p w:rsidR="00000000" w:rsidDel="00000000" w:rsidP="00000000" w:rsidRDefault="00000000" w:rsidRPr="00000000" w14:paraId="0000002D">
      <w:pPr>
        <w:pStyle w:val="Heading2"/>
        <w:ind w:left="-4" w:firstLine="1.0000000000000009"/>
        <w:rPr/>
      </w:pPr>
      <w:r w:rsidDel="00000000" w:rsidR="00000000" w:rsidRPr="00000000">
        <w:rPr>
          <w:rtl w:val="0"/>
        </w:rPr>
        <w:t xml:space="preserve"> Things to keep in mind</w:t>
      </w:r>
    </w:p>
    <w:p w:rsidR="00000000" w:rsidDel="00000000" w:rsidP="00000000" w:rsidRDefault="00000000" w:rsidRPr="00000000" w14:paraId="0000002E">
      <w:pPr>
        <w:numPr>
          <w:ilvl w:val="0"/>
          <w:numId w:val="4"/>
        </w:numPr>
        <w:spacing w:after="0" w:afterAutospacing="0"/>
        <w:ind w:left="720" w:hanging="360"/>
        <w:rPr>
          <w:u w:val="none"/>
        </w:rPr>
      </w:pPr>
      <w:r w:rsidDel="00000000" w:rsidR="00000000" w:rsidRPr="00000000">
        <w:rPr>
          <w:rtl w:val="0"/>
        </w:rPr>
        <w:t xml:space="preserve">“population has crashed” which implies there’s a right place to be.  vs. its a low point in the cycle</w:t>
      </w:r>
    </w:p>
    <w:p w:rsidR="00000000" w:rsidDel="00000000" w:rsidP="00000000" w:rsidRDefault="00000000" w:rsidRPr="00000000" w14:paraId="0000002F">
      <w:pPr>
        <w:numPr>
          <w:ilvl w:val="0"/>
          <w:numId w:val="4"/>
        </w:numPr>
        <w:spacing w:after="0" w:afterAutospacing="0"/>
        <w:ind w:left="720" w:hanging="360"/>
        <w:rPr>
          <w:u w:val="none"/>
        </w:rPr>
      </w:pPr>
      <w:r w:rsidDel="00000000" w:rsidR="00000000" w:rsidRPr="00000000">
        <w:rPr>
          <w:rtl w:val="0"/>
        </w:rPr>
        <w:t xml:space="preserve">if you do this, treat it like an experiment, gather data, have thresholds and benchmarks, be transparent, etc</w:t>
      </w:r>
    </w:p>
    <w:p w:rsidR="00000000" w:rsidDel="00000000" w:rsidP="00000000" w:rsidRDefault="00000000" w:rsidRPr="00000000" w14:paraId="00000030">
      <w:pPr>
        <w:numPr>
          <w:ilvl w:val="0"/>
          <w:numId w:val="4"/>
        </w:numPr>
        <w:spacing w:after="0" w:afterAutospacing="0"/>
        <w:ind w:left="720" w:hanging="360"/>
        <w:rPr>
          <w:u w:val="none"/>
        </w:rPr>
      </w:pPr>
      <w:r w:rsidDel="00000000" w:rsidR="00000000" w:rsidRPr="00000000">
        <w:rPr>
          <w:rFonts w:ascii="Arial" w:cs="Arial" w:eastAsia="Arial" w:hAnsi="Arial"/>
          <w:color w:val="222222"/>
          <w:highlight w:val="white"/>
          <w:rtl w:val="0"/>
        </w:rPr>
        <w:t xml:space="preserve">Hoffman's comment at ~1:46:15 remaining says a lot.  "Every predator is making a HUGE impact right now."  </w:t>
      </w:r>
      <w:r w:rsidDel="00000000" w:rsidR="00000000" w:rsidRPr="00000000">
        <w:rPr>
          <w:rtl w:val="0"/>
        </w:rPr>
      </w:r>
    </w:p>
    <w:p w:rsidR="00000000" w:rsidDel="00000000" w:rsidP="00000000" w:rsidRDefault="00000000" w:rsidRPr="00000000" w14:paraId="00000031">
      <w:pPr>
        <w:numPr>
          <w:ilvl w:val="0"/>
          <w:numId w:val="4"/>
        </w:numPr>
        <w:spacing w:after="0" w:afterAutospacing="0"/>
        <w:ind w:left="720" w:hanging="360"/>
        <w:rPr>
          <w:u w:val="none"/>
        </w:rPr>
      </w:pPr>
      <w:r w:rsidDel="00000000" w:rsidR="00000000" w:rsidRPr="00000000">
        <w:rPr>
          <w:rFonts w:ascii="Arial" w:cs="Arial" w:eastAsia="Arial" w:hAnsi="Arial"/>
          <w:color w:val="222222"/>
          <w:highlight w:val="white"/>
          <w:rtl w:val="0"/>
        </w:rPr>
        <w:t xml:space="preserve">Ryan's comments about "a myriad of factors" and "a combination of a lot of things that are happening" (~1:44:00) is interesting.  Also, Huntington's comment (~1:37:30) that this was the best talk he's ever seen was nice - but went nowhere, obviously.</w:t>
      </w:r>
    </w:p>
    <w:p w:rsidR="00000000" w:rsidDel="00000000" w:rsidP="00000000" w:rsidRDefault="00000000" w:rsidRPr="00000000" w14:paraId="00000032">
      <w:pPr>
        <w:numPr>
          <w:ilvl w:val="0"/>
          <w:numId w:val="4"/>
        </w:numPr>
        <w:spacing w:after="0" w:afterAutospacing="0"/>
        <w:ind w:left="720" w:hanging="360"/>
      </w:pPr>
      <w:r w:rsidDel="00000000" w:rsidR="00000000" w:rsidRPr="00000000">
        <w:rPr>
          <w:rFonts w:ascii="Arial" w:cs="Arial" w:eastAsia="Arial" w:hAnsi="Arial"/>
          <w:color w:val="222222"/>
          <w:highlight w:val="white"/>
          <w:rtl w:val="0"/>
        </w:rPr>
        <w:t xml:space="preserve">This is what I have for original budgets, not all of which were spent out.  That would take more work than I care to do right now.   And, again, these won't include every expense, such as admin time.  Obviously S&amp;I expenses aren't included here, either.</w:t>
      </w:r>
    </w:p>
    <w:p w:rsidR="00000000" w:rsidDel="00000000" w:rsidP="00000000" w:rsidRDefault="00000000" w:rsidRPr="00000000" w14:paraId="00000033">
      <w:pPr>
        <w:numPr>
          <w:ilvl w:val="1"/>
          <w:numId w:val="4"/>
        </w:numPr>
        <w:shd w:fill="ffffff" w:val="clear"/>
        <w:spacing w:after="0" w:afterAutospacing="0"/>
        <w:ind w:left="1440" w:hanging="360"/>
      </w:pPr>
      <w:r w:rsidDel="00000000" w:rsidR="00000000" w:rsidRPr="00000000">
        <w:rPr>
          <w:rFonts w:ascii="Arial" w:cs="Arial" w:eastAsia="Arial" w:hAnsi="Arial"/>
          <w:color w:val="222222"/>
          <w:rtl w:val="0"/>
        </w:rPr>
        <w:t xml:space="preserve">MCH calf study: $722,082</w:t>
      </w:r>
    </w:p>
    <w:p w:rsidR="00000000" w:rsidDel="00000000" w:rsidP="00000000" w:rsidRDefault="00000000" w:rsidRPr="00000000" w14:paraId="00000034">
      <w:pPr>
        <w:numPr>
          <w:ilvl w:val="1"/>
          <w:numId w:val="4"/>
        </w:numPr>
        <w:shd w:fill="ffffff" w:val="clear"/>
        <w:spacing w:after="0" w:afterAutospacing="0"/>
        <w:ind w:left="1440" w:hanging="360"/>
      </w:pPr>
      <w:r w:rsidDel="00000000" w:rsidR="00000000" w:rsidRPr="00000000">
        <w:rPr>
          <w:rFonts w:ascii="Arial" w:cs="Arial" w:eastAsia="Arial" w:hAnsi="Arial"/>
          <w:color w:val="222222"/>
          <w:rtl w:val="0"/>
        </w:rPr>
        <w:t xml:space="preserve">GMU 17 wolves: $992,089</w:t>
      </w:r>
    </w:p>
    <w:p w:rsidR="00000000" w:rsidDel="00000000" w:rsidP="00000000" w:rsidRDefault="00000000" w:rsidRPr="00000000" w14:paraId="00000035">
      <w:pPr>
        <w:numPr>
          <w:ilvl w:val="1"/>
          <w:numId w:val="4"/>
        </w:numPr>
        <w:shd w:fill="ffffff" w:val="clear"/>
        <w:ind w:left="1440" w:hanging="360"/>
      </w:pPr>
      <w:r w:rsidDel="00000000" w:rsidR="00000000" w:rsidRPr="00000000">
        <w:rPr>
          <w:rFonts w:ascii="Arial" w:cs="Arial" w:eastAsia="Arial" w:hAnsi="Arial"/>
          <w:color w:val="222222"/>
          <w:rtl w:val="0"/>
        </w:rPr>
        <w:t xml:space="preserve">MCH herd health: $595,788</w:t>
      </w:r>
    </w:p>
    <w:p w:rsidR="00000000" w:rsidDel="00000000" w:rsidP="00000000" w:rsidRDefault="00000000" w:rsidRPr="00000000" w14:paraId="00000036">
      <w:pPr>
        <w:shd w:fill="ffffff" w:val="clear"/>
        <w:ind w:left="144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7">
      <w:pPr>
        <w:numPr>
          <w:ilvl w:val="0"/>
          <w:numId w:val="4"/>
        </w:numPr>
        <w:spacing w:after="0" w:afterAutospacing="0"/>
        <w:ind w:left="720" w:hanging="360"/>
        <w:rPr>
          <w:u w:val="none"/>
        </w:rPr>
      </w:pPr>
      <w:r w:rsidDel="00000000" w:rsidR="00000000" w:rsidRPr="00000000">
        <w:rPr>
          <w:rtl w:val="0"/>
        </w:rPr>
        <w:t xml:space="preserve">calf:cow ratios isn’t the end all be all</w:t>
      </w:r>
    </w:p>
    <w:p w:rsidR="00000000" w:rsidDel="00000000" w:rsidP="00000000" w:rsidRDefault="00000000" w:rsidRPr="00000000" w14:paraId="00000038">
      <w:pPr>
        <w:numPr>
          <w:ilvl w:val="0"/>
          <w:numId w:val="4"/>
        </w:numPr>
        <w:ind w:left="720" w:hanging="360"/>
        <w:rPr>
          <w:u w:val="none"/>
        </w:rPr>
      </w:pPr>
      <w:r w:rsidDel="00000000" w:rsidR="00000000" w:rsidRPr="00000000">
        <w:rPr/>
        <w:drawing>
          <wp:inline distB="114300" distT="114300" distL="114300" distR="114300">
            <wp:extent cx="6229350" cy="2695575"/>
            <wp:effectExtent b="0" l="0" r="0" t="0"/>
            <wp:docPr id="479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229350"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before="240" w:line="276" w:lineRule="auto"/>
        <w:ind w:left="0" w:firstLine="0"/>
        <w:rPr/>
      </w:pPr>
      <w:r w:rsidDel="00000000" w:rsidR="00000000" w:rsidRPr="00000000">
        <w:rPr>
          <w:rtl w:val="0"/>
        </w:rPr>
      </w:r>
    </w:p>
    <w:p w:rsidR="00000000" w:rsidDel="00000000" w:rsidP="00000000" w:rsidRDefault="00000000" w:rsidRPr="00000000" w14:paraId="0000003A">
      <w:pPr>
        <w:spacing w:after="0" w:before="240" w:line="240" w:lineRule="auto"/>
        <w:ind w:left="720" w:firstLine="0"/>
        <w:rPr/>
      </w:pPr>
      <w:r w:rsidDel="00000000" w:rsidR="00000000" w:rsidRPr="00000000">
        <w:rPr>
          <w:rtl w:val="0"/>
        </w:rPr>
        <w:t xml:space="preserve">Feasibility assessment (does this exist? not available anywhere)</w:t>
      </w:r>
    </w:p>
    <w:p w:rsidR="00000000" w:rsidDel="00000000" w:rsidP="00000000" w:rsidRDefault="00000000" w:rsidRPr="00000000" w14:paraId="0000003B">
      <w:pPr>
        <w:spacing w:after="0" w:before="240" w:line="240" w:lineRule="auto"/>
        <w:ind w:left="720" w:firstLine="0"/>
        <w:rPr/>
      </w:pPr>
      <w:r w:rsidDel="00000000" w:rsidR="00000000" w:rsidRPr="00000000">
        <w:rPr>
          <w:rtl w:val="0"/>
        </w:rPr>
        <w:t xml:space="preserve">            </w:t>
        <w:tab/>
        <w:t xml:space="preserve">If done properly, would we even have landed on approving IM</w:t>
      </w:r>
    </w:p>
    <w:p w:rsidR="00000000" w:rsidDel="00000000" w:rsidP="00000000" w:rsidRDefault="00000000" w:rsidRPr="00000000" w14:paraId="0000003C">
      <w:pPr>
        <w:spacing w:after="0" w:before="240" w:line="240" w:lineRule="auto"/>
        <w:ind w:left="720" w:firstLine="0"/>
        <w:rPr/>
      </w:pPr>
      <w:r w:rsidDel="00000000" w:rsidR="00000000" w:rsidRPr="00000000">
        <w:rPr>
          <w:rtl w:val="0"/>
        </w:rPr>
        <w:t xml:space="preserve">Operational plan: </w:t>
      </w:r>
      <w:hyperlink r:id="rId11">
        <w:r w:rsidDel="00000000" w:rsidR="00000000" w:rsidRPr="00000000">
          <w:rPr>
            <w:color w:val="1155cc"/>
            <w:u w:val="single"/>
            <w:rtl w:val="0"/>
          </w:rPr>
          <w:t xml:space="preserve">operational plan for intensive management</w:t>
        </w:r>
      </w:hyperlink>
      <w:r w:rsidDel="00000000" w:rsidR="00000000" w:rsidRPr="00000000">
        <w:rPr>
          <w:rtl w:val="0"/>
        </w:rPr>
      </w:r>
    </w:p>
    <w:p w:rsidR="00000000" w:rsidDel="00000000" w:rsidP="00000000" w:rsidRDefault="00000000" w:rsidRPr="00000000" w14:paraId="0000003D">
      <w:pPr>
        <w:spacing w:after="0" w:before="240" w:line="240" w:lineRule="auto"/>
        <w:ind w:left="720" w:firstLine="0"/>
        <w:rPr/>
      </w:pPr>
      <w:r w:rsidDel="00000000" w:rsidR="00000000" w:rsidRPr="00000000">
        <w:rPr>
          <w:rtl w:val="0"/>
        </w:rPr>
        <w:t xml:space="preserve">Department report:  </w:t>
      </w:r>
      <w:hyperlink r:id="rId12">
        <w:r w:rsidDel="00000000" w:rsidR="00000000" w:rsidRPr="00000000">
          <w:rPr>
            <w:color w:val="1155cc"/>
            <w:u w:val="single"/>
            <w:rtl w:val="0"/>
          </w:rPr>
          <w:t xml:space="preserve">Annual Report to the Alaska Board of Game on Intensive Management for Mulchatna Caribou with Wolf and Bear Predation Control in Game Management Unit</w:t>
        </w:r>
      </w:hyperlink>
      <w:r w:rsidDel="00000000" w:rsidR="00000000" w:rsidRPr="00000000">
        <w:rPr>
          <w:rtl w:val="0"/>
        </w:rPr>
      </w:r>
    </w:p>
    <w:p w:rsidR="00000000" w:rsidDel="00000000" w:rsidP="00000000" w:rsidRDefault="00000000" w:rsidRPr="00000000" w14:paraId="0000003E">
      <w:pPr>
        <w:spacing w:after="0" w:before="240" w:line="240" w:lineRule="auto"/>
        <w:ind w:left="72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spacing w:after="0" w:line="259" w:lineRule="auto"/>
        <w:ind w:left="1172" w:firstLine="0"/>
        <w:rPr/>
      </w:pPr>
      <w:r w:rsidDel="00000000" w:rsidR="00000000" w:rsidRPr="00000000">
        <w:rPr>
          <w:rtl w:val="0"/>
        </w:rPr>
        <w:t xml:space="preserve"> </w:t>
      </w:r>
    </w:p>
    <w:p w:rsidR="00000000" w:rsidDel="00000000" w:rsidP="00000000" w:rsidRDefault="00000000" w:rsidRPr="00000000" w14:paraId="00000041">
      <w:pPr>
        <w:spacing w:after="0" w:line="259" w:lineRule="auto"/>
        <w:ind w:left="1172" w:firstLine="0"/>
        <w:rPr/>
      </w:pPr>
      <w:r w:rsidDel="00000000" w:rsidR="00000000" w:rsidRPr="00000000">
        <w:rPr>
          <w:rtl w:val="0"/>
        </w:rPr>
        <w:t xml:space="preserve"> </w:t>
      </w:r>
    </w:p>
    <w:p w:rsidR="00000000" w:rsidDel="00000000" w:rsidP="00000000" w:rsidRDefault="00000000" w:rsidRPr="00000000" w14:paraId="00000042">
      <w:pPr>
        <w:spacing w:after="0" w:line="259" w:lineRule="auto"/>
        <w:rPr>
          <w:u w:val="single"/>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5840" w:w="12240" w:orient="portrait"/>
      <w:pgMar w:bottom="812" w:top="918" w:left="1007" w:right="100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tabs>
        <w:tab w:val="center" w:leader="none" w:pos="721"/>
        <w:tab w:val="center" w:leader="none" w:pos="1441"/>
        <w:tab w:val="center" w:leader="none" w:pos="2161"/>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1"/>
        <w:tab w:val="center" w:leader="none" w:pos="8641"/>
        <w:tab w:val="center" w:leader="none" w:pos="9699"/>
      </w:tabs>
      <w:spacing w:after="0" w:line="259" w:lineRule="auto"/>
      <w:ind w:left="0" w:firstLine="0"/>
      <w:rPr/>
    </w:pPr>
    <w:r w:rsidDel="00000000" w:rsidR="00000000" w:rsidRPr="00000000">
      <w:rPr>
        <w:rFonts w:ascii="Cambria" w:cs="Cambria" w:eastAsia="Cambria" w:hAnsi="Cambria"/>
        <w:sz w:val="24"/>
        <w:szCs w:val="24"/>
        <w:rtl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Cambria" w:cs="Cambria" w:eastAsia="Cambria" w:hAnsi="Cambria"/>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spacing w:after="160" w:line="259" w:lineRule="auto"/>
      <w:ind w:left="0" w:firstLine="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tabs>
        <w:tab w:val="center" w:leader="none" w:pos="721"/>
        <w:tab w:val="center" w:leader="none" w:pos="1441"/>
        <w:tab w:val="center" w:leader="none" w:pos="2161"/>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1"/>
        <w:tab w:val="center" w:leader="none" w:pos="8641"/>
        <w:tab w:val="center" w:leader="none" w:pos="9699"/>
      </w:tabs>
      <w:spacing w:after="0" w:line="259" w:lineRule="auto"/>
      <w:ind w:left="0" w:firstLine="0"/>
      <w:rPr/>
    </w:pPr>
    <w:r w:rsidDel="00000000" w:rsidR="00000000" w:rsidRPr="00000000">
      <w:rPr>
        <w:rFonts w:ascii="Cambria" w:cs="Cambria" w:eastAsia="Cambria" w:hAnsi="Cambria"/>
        <w:sz w:val="24"/>
        <w:szCs w:val="24"/>
        <w:rtl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Cambria" w:cs="Cambria" w:eastAsia="Cambria" w:hAnsi="Cambria"/>
        <w:sz w:val="24"/>
        <w:szCs w:val="24"/>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spacing w:after="0" w:line="259" w:lineRule="auto"/>
      <w:ind w:left="0" w:right="2" w:firstLine="0"/>
      <w:jc w:val="cente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92" name=""/>
              <a:graphic>
                <a:graphicData uri="http://schemas.microsoft.com/office/word/2010/wordprocessingGroup">
                  <wpg:wgp>
                    <wpg:cNvGrpSpPr/>
                    <wpg:grpSpPr>
                      <a:xfrm>
                        <a:off x="2081575" y="3751800"/>
                        <a:ext cx="6528816" cy="56388"/>
                        <a:chOff x="2081575" y="3751800"/>
                        <a:chExt cx="6528850" cy="56400"/>
                      </a:xfrm>
                    </wpg:grpSpPr>
                    <wpg:grpSp>
                      <wpg:cNvGrpSpPr/>
                      <wpg:grpSpPr>
                        <a:xfrm>
                          <a:off x="2081592" y="3751806"/>
                          <a:ext cx="6528816" cy="56388"/>
                          <a:chOff x="2081575" y="3751800"/>
                          <a:chExt cx="6528850" cy="56400"/>
                        </a:xfrm>
                      </wpg:grpSpPr>
                      <wps:wsp>
                        <wps:cNvSpPr/>
                        <wps:cNvPr id="3" name="Shape 3"/>
                        <wps:spPr>
                          <a:xfrm>
                            <a:off x="2081575" y="3751800"/>
                            <a:ext cx="6528850" cy="5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81592" y="3751806"/>
                            <a:ext cx="6528816" cy="56388"/>
                            <a:chOff x="0" y="0"/>
                            <a:chExt cx="6528816" cy="56388"/>
                          </a:xfrm>
                        </wpg:grpSpPr>
                        <wps:wsp>
                          <wps:cNvSpPr/>
                          <wps:cNvPr id="10" name="Shape 10"/>
                          <wps:spPr>
                            <a:xfrm>
                              <a:off x="0" y="0"/>
                              <a:ext cx="6528800"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18288"/>
                              <a:ext cx="6528816" cy="38100"/>
                            </a:xfrm>
                            <a:custGeom>
                              <a:rect b="b" l="l" r="r" t="t"/>
                              <a:pathLst>
                                <a:path extrusionOk="0" h="38100" w="6528816">
                                  <a:moveTo>
                                    <a:pt x="0" y="0"/>
                                  </a:moveTo>
                                  <a:lnTo>
                                    <a:pt x="6528816" y="0"/>
                                  </a:lnTo>
                                  <a:lnTo>
                                    <a:pt x="6528816" y="38100"/>
                                  </a:lnTo>
                                  <a:lnTo>
                                    <a:pt x="0" y="38100"/>
                                  </a:lnTo>
                                  <a:lnTo>
                                    <a:pt x="0" y="0"/>
                                  </a:lnTo>
                                </a:path>
                              </a:pathLst>
                            </a:custGeom>
                            <a:solidFill>
                              <a:srgbClr val="612322"/>
                            </a:solidFill>
                            <a:ln>
                              <a:noFill/>
                            </a:ln>
                          </wps:spPr>
                          <wps:bodyPr anchorCtr="0" anchor="ctr" bIns="91425" lIns="91425" spcFirstLastPara="1" rIns="91425" wrap="square" tIns="91425">
                            <a:noAutofit/>
                          </wps:bodyPr>
                        </wps:wsp>
                        <wps:wsp>
                          <wps:cNvSpPr/>
                          <wps:cNvPr id="12" name="Shape 12"/>
                          <wps:spPr>
                            <a:xfrm>
                              <a:off x="0" y="0"/>
                              <a:ext cx="6528816" cy="9144"/>
                            </a:xfrm>
                            <a:custGeom>
                              <a:rect b="b" l="l" r="r" t="t"/>
                              <a:pathLst>
                                <a:path extrusionOk="0" h="9144" w="6528816">
                                  <a:moveTo>
                                    <a:pt x="0" y="0"/>
                                  </a:moveTo>
                                  <a:lnTo>
                                    <a:pt x="6528816" y="0"/>
                                  </a:lnTo>
                                  <a:lnTo>
                                    <a:pt x="6528816" y="9144"/>
                                  </a:lnTo>
                                  <a:lnTo>
                                    <a:pt x="0" y="9144"/>
                                  </a:lnTo>
                                  <a:lnTo>
                                    <a:pt x="0" y="0"/>
                                  </a:lnTo>
                                </a:path>
                              </a:pathLst>
                            </a:custGeom>
                            <a:solidFill>
                              <a:srgbClr val="612322"/>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9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28816" cy="56388"/>
                      </a:xfrm>
                      <a:prstGeom prst="rect"/>
                      <a:ln/>
                    </pic:spPr>
                  </pic:pic>
                </a:graphicData>
              </a:graphic>
            </wp:anchor>
          </w:drawing>
        </mc:Fallback>
      </mc:AlternateContent>
    </w:r>
    <w:r w:rsidDel="00000000" w:rsidR="00000000" w:rsidRPr="00000000">
      <w:rPr>
        <w:rFonts w:ascii="Cambria" w:cs="Cambria" w:eastAsia="Cambria" w:hAnsi="Cambria"/>
        <w:i w:val="1"/>
        <w:sz w:val="24"/>
        <w:szCs w:val="24"/>
        <w:rtl w:val="0"/>
      </w:rPr>
      <w:t xml:space="preserve">The Alaska Chapter of The Wildlife Society Position Statement </w:t>
    </w:r>
    <w:r w:rsidDel="00000000" w:rsidR="00000000" w:rsidRPr="00000000">
      <w:rPr>
        <w:rtl w:val="0"/>
      </w:rPr>
    </w:r>
  </w:p>
  <w:p w:rsidR="00000000" w:rsidDel="00000000" w:rsidP="00000000" w:rsidRDefault="00000000" w:rsidRPr="00000000" w14:paraId="00000044">
    <w:pPr>
      <w:spacing w:after="0" w:line="259" w:lineRule="auto"/>
      <w:ind w:left="0" w:right="1" w:firstLine="0"/>
      <w:jc w:val="center"/>
      <w:rPr/>
    </w:pPr>
    <w:r w:rsidDel="00000000" w:rsidR="00000000" w:rsidRPr="00000000">
      <w:rPr>
        <w:rFonts w:ascii="Cambria" w:cs="Cambria" w:eastAsia="Cambria" w:hAnsi="Cambria"/>
        <w:i w:val="1"/>
        <w:sz w:val="24"/>
        <w:szCs w:val="24"/>
        <w:rtl w:val="0"/>
      </w:rPr>
      <w:t xml:space="preserve">Intensive Management of Big Game in Alaska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spacing w:after="160" w:line="259" w:lineRule="auto"/>
      <w:ind w:left="0"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spacing w:after="0" w:line="259" w:lineRule="auto"/>
      <w:ind w:left="0" w:right="2" w:firstLine="0"/>
      <w:jc w:val="cente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91" name=""/>
              <a:graphic>
                <a:graphicData uri="http://schemas.microsoft.com/office/word/2010/wordprocessingGroup">
                  <wpg:wgp>
                    <wpg:cNvGrpSpPr/>
                    <wpg:grpSpPr>
                      <a:xfrm>
                        <a:off x="2081575" y="3751800"/>
                        <a:ext cx="6528816" cy="56388"/>
                        <a:chOff x="2081575" y="3751800"/>
                        <a:chExt cx="6528850" cy="56400"/>
                      </a:xfrm>
                    </wpg:grpSpPr>
                    <wpg:grpSp>
                      <wpg:cNvGrpSpPr/>
                      <wpg:grpSpPr>
                        <a:xfrm>
                          <a:off x="2081592" y="3751806"/>
                          <a:ext cx="6528816" cy="56388"/>
                          <a:chOff x="2081575" y="3751800"/>
                          <a:chExt cx="6528850" cy="56400"/>
                        </a:xfrm>
                      </wpg:grpSpPr>
                      <wps:wsp>
                        <wps:cNvSpPr/>
                        <wps:cNvPr id="3" name="Shape 3"/>
                        <wps:spPr>
                          <a:xfrm>
                            <a:off x="2081575" y="3751800"/>
                            <a:ext cx="6528850" cy="5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81592" y="3751806"/>
                            <a:ext cx="6528816" cy="56388"/>
                            <a:chOff x="0" y="0"/>
                            <a:chExt cx="6528816" cy="56388"/>
                          </a:xfrm>
                        </wpg:grpSpPr>
                        <wps:wsp>
                          <wps:cNvSpPr/>
                          <wps:cNvPr id="5" name="Shape 5"/>
                          <wps:spPr>
                            <a:xfrm>
                              <a:off x="0" y="0"/>
                              <a:ext cx="6528800"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8288"/>
                              <a:ext cx="6528816" cy="38100"/>
                            </a:xfrm>
                            <a:custGeom>
                              <a:rect b="b" l="l" r="r" t="t"/>
                              <a:pathLst>
                                <a:path extrusionOk="0" h="38100" w="6528816">
                                  <a:moveTo>
                                    <a:pt x="0" y="0"/>
                                  </a:moveTo>
                                  <a:lnTo>
                                    <a:pt x="6528816" y="0"/>
                                  </a:lnTo>
                                  <a:lnTo>
                                    <a:pt x="6528816" y="38100"/>
                                  </a:lnTo>
                                  <a:lnTo>
                                    <a:pt x="0" y="38100"/>
                                  </a:lnTo>
                                  <a:lnTo>
                                    <a:pt x="0" y="0"/>
                                  </a:lnTo>
                                </a:path>
                              </a:pathLst>
                            </a:custGeom>
                            <a:solidFill>
                              <a:srgbClr val="612322"/>
                            </a:solidFill>
                            <a:ln>
                              <a:noFill/>
                            </a:ln>
                          </wps:spPr>
                          <wps:bodyPr anchorCtr="0" anchor="ctr" bIns="91425" lIns="91425" spcFirstLastPara="1" rIns="91425" wrap="square" tIns="91425">
                            <a:noAutofit/>
                          </wps:bodyPr>
                        </wps:wsp>
                        <wps:wsp>
                          <wps:cNvSpPr/>
                          <wps:cNvPr id="7" name="Shape 7"/>
                          <wps:spPr>
                            <a:xfrm>
                              <a:off x="0" y="0"/>
                              <a:ext cx="6528816" cy="9144"/>
                            </a:xfrm>
                            <a:custGeom>
                              <a:rect b="b" l="l" r="r" t="t"/>
                              <a:pathLst>
                                <a:path extrusionOk="0" h="9144" w="6528816">
                                  <a:moveTo>
                                    <a:pt x="0" y="0"/>
                                  </a:moveTo>
                                  <a:lnTo>
                                    <a:pt x="6528816" y="0"/>
                                  </a:lnTo>
                                  <a:lnTo>
                                    <a:pt x="6528816" y="9144"/>
                                  </a:lnTo>
                                  <a:lnTo>
                                    <a:pt x="0" y="9144"/>
                                  </a:lnTo>
                                  <a:lnTo>
                                    <a:pt x="0" y="0"/>
                                  </a:lnTo>
                                </a:path>
                              </a:pathLst>
                            </a:custGeom>
                            <a:solidFill>
                              <a:srgbClr val="612322"/>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9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528816" cy="56388"/>
                      </a:xfrm>
                      <a:prstGeom prst="rect"/>
                      <a:ln/>
                    </pic:spPr>
                  </pic:pic>
                </a:graphicData>
              </a:graphic>
            </wp:anchor>
          </w:drawing>
        </mc:Fallback>
      </mc:AlternateContent>
    </w:r>
    <w:r w:rsidDel="00000000" w:rsidR="00000000" w:rsidRPr="00000000">
      <w:rPr>
        <w:rFonts w:ascii="Cambria" w:cs="Cambria" w:eastAsia="Cambria" w:hAnsi="Cambria"/>
        <w:i w:val="1"/>
        <w:sz w:val="24"/>
        <w:szCs w:val="24"/>
        <w:rtl w:val="0"/>
      </w:rPr>
      <w:t xml:space="preserve">The Alaska Chapter of The Wildlife Society Draft Position Statement </w:t>
    </w:r>
    <w:r w:rsidDel="00000000" w:rsidR="00000000" w:rsidRPr="00000000">
      <w:rPr>
        <w:rtl w:val="0"/>
      </w:rPr>
    </w:r>
  </w:p>
  <w:p w:rsidR="00000000" w:rsidDel="00000000" w:rsidP="00000000" w:rsidRDefault="00000000" w:rsidRPr="00000000" w14:paraId="00000047">
    <w:pPr>
      <w:spacing w:after="0" w:line="259" w:lineRule="auto"/>
      <w:ind w:left="0" w:right="1" w:firstLine="0"/>
      <w:jc w:val="center"/>
      <w:rPr/>
    </w:pPr>
    <w:r w:rsidDel="00000000" w:rsidR="00000000" w:rsidRPr="00000000">
      <w:rPr>
        <w:rFonts w:ascii="Cambria" w:cs="Cambria" w:eastAsia="Cambria" w:hAnsi="Cambria"/>
        <w:i w:val="1"/>
        <w:sz w:val="24"/>
        <w:szCs w:val="24"/>
        <w:rtl w:val="0"/>
      </w:rPr>
      <w:t xml:space="preserve">Intensive Management of Big Game in Alaska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4" w:line="248.00000000000006" w:lineRule="auto"/>
        <w:ind w:left="10" w:hanging="9"/>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259" w:lineRule="auto"/>
      <w:ind w:left="1"/>
    </w:pPr>
    <w:rPr>
      <w:rFonts w:ascii="Cambria" w:cs="Cambria" w:eastAsia="Cambria" w:hAnsi="Cambria"/>
      <w:b w:val="1"/>
      <w:color w:val="365f91"/>
      <w:sz w:val="28"/>
      <w:szCs w:val="28"/>
    </w:rPr>
  </w:style>
  <w:style w:type="paragraph" w:styleId="Heading2">
    <w:name w:val="heading 2"/>
    <w:basedOn w:val="Normal"/>
    <w:next w:val="Normal"/>
    <w:pPr>
      <w:keepNext w:val="1"/>
      <w:keepLines w:val="1"/>
      <w:spacing w:after="0" w:line="259" w:lineRule="auto"/>
      <w:ind w:left="11" w:hanging="10"/>
    </w:pPr>
    <w:rPr>
      <w:rFonts w:ascii="Cambria" w:cs="Cambria" w:eastAsia="Cambria" w:hAnsi="Cambria"/>
      <w:b w:val="1"/>
      <w:color w:val="1f487c"/>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hanging="1"/>
      <w:jc w:val="left"/>
    </w:pPr>
    <w:rPr>
      <w:rFonts w:ascii="Cambria" w:cs="Cambria" w:eastAsia="Cambria" w:hAnsi="Cambria"/>
      <w:b w:val="1"/>
      <w:i w:val="0"/>
      <w:smallCaps w:val="0"/>
      <w:strike w:val="0"/>
      <w:color w:val="365f91"/>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hanging="10"/>
      <w:jc w:val="left"/>
    </w:pPr>
    <w:rPr>
      <w:rFonts w:ascii="Cambria" w:cs="Cambria" w:eastAsia="Cambria" w:hAnsi="Cambria"/>
      <w:b w:val="1"/>
      <w:i w:val="0"/>
      <w:smallCaps w:val="0"/>
      <w:strike w:val="0"/>
      <w:color w:val="1f487c"/>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4" w:line="248" w:lineRule="auto"/>
      <w:ind w:left="10" w:hanging="9"/>
    </w:pPr>
    <w:rPr>
      <w:rFonts w:ascii="Calibri" w:cs="Calibri" w:eastAsia="Calibri" w:hAnsi="Calibri"/>
      <w:color w:val="000000"/>
      <w:sz w:val="22"/>
    </w:rPr>
  </w:style>
  <w:style w:type="paragraph" w:styleId="Heading1">
    <w:name w:val="heading 1"/>
    <w:next w:val="Normal"/>
    <w:link w:val="Heading1Char"/>
    <w:uiPriority w:val="9"/>
    <w:qFormat w:val="1"/>
    <w:pPr>
      <w:keepNext w:val="1"/>
      <w:keepLines w:val="1"/>
      <w:spacing w:after="0" w:line="259" w:lineRule="auto"/>
      <w:ind w:left="1"/>
      <w:outlineLvl w:val="0"/>
    </w:pPr>
    <w:rPr>
      <w:rFonts w:ascii="Cambria" w:cs="Cambria" w:eastAsia="Cambria" w:hAnsi="Cambria"/>
      <w:b w:val="1"/>
      <w:color w:val="365f91"/>
      <w:sz w:val="28"/>
    </w:rPr>
  </w:style>
  <w:style w:type="paragraph" w:styleId="Heading2">
    <w:name w:val="heading 2"/>
    <w:next w:val="Normal"/>
    <w:link w:val="Heading2Char"/>
    <w:uiPriority w:val="9"/>
    <w:unhideWhenUsed w:val="1"/>
    <w:qFormat w:val="1"/>
    <w:pPr>
      <w:keepNext w:val="1"/>
      <w:keepLines w:val="1"/>
      <w:spacing w:after="0" w:line="259" w:lineRule="auto"/>
      <w:ind w:left="11" w:hanging="10"/>
      <w:outlineLvl w:val="1"/>
    </w:pPr>
    <w:rPr>
      <w:rFonts w:ascii="Cambria" w:cs="Cambria" w:eastAsia="Cambria" w:hAnsi="Cambria"/>
      <w:b w:val="1"/>
      <w:color w:val="1f487c"/>
      <w:sz w:val="2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link w:val="Heading2"/>
    <w:rPr>
      <w:rFonts w:ascii="Cambria" w:cs="Cambria" w:eastAsia="Cambria" w:hAnsi="Cambria"/>
      <w:b w:val="1"/>
      <w:color w:val="1f487c"/>
      <w:sz w:val="28"/>
    </w:rPr>
  </w:style>
  <w:style w:type="character" w:styleId="Heading1Char" w:customStyle="1">
    <w:name w:val="Heading 1 Char"/>
    <w:link w:val="Heading1"/>
    <w:rPr>
      <w:rFonts w:ascii="Cambria" w:cs="Cambria" w:eastAsia="Cambria" w:hAnsi="Cambria"/>
      <w:b w:val="1"/>
      <w:color w:val="365f91"/>
      <w:sz w:val="28"/>
    </w:rPr>
  </w:style>
  <w:style w:type="paragraph" w:styleId="Revision">
    <w:name w:val="Revision"/>
    <w:hidden w:val="1"/>
    <w:uiPriority w:val="99"/>
    <w:semiHidden w:val="1"/>
    <w:rsid w:val="00AA6BEB"/>
    <w:pPr>
      <w:spacing w:after="0" w:line="240" w:lineRule="auto"/>
    </w:pPr>
    <w:rPr>
      <w:rFonts w:ascii="Calibri" w:cs="Calibri" w:eastAsia="Calibri" w:hAnsi="Calibri"/>
      <w:color w:val="000000"/>
      <w:sz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dfg.alaska.gov/static/regulations/regprocess/gameboard/pdfs/2022-2023/sc/rc4_1.4.pdf" TargetMode="External"/><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yperlink" Target="https://www.adfg.alaska.gov/static/applications/web/nocache/research/programs/intensivemanagement/pdfs/2024_mulchatna_intensive_management_annual_report.pdf43B5B27598C69037FC295FA56FBF8E62/2024_mulchatna_intensive_management_annual_repor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https://www.adfg.alaska.gov/index.cfm?adfg=intensivemanagement.main" TargetMode="External"/><Relationship Id="rId8" Type="http://schemas.openxmlformats.org/officeDocument/2006/relationships/hyperlink" Target="https://www.adfg.alaska.gov/static/research/programs/intensivemanagement/pdfs/intensive_management_stories_of_succes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rHgel6OECHFfx00G0zd0+GCU4Q==">CgMxLjAyDmguazhsdzZjOGh2enN6Mg5oLndkNXNmcDIydTBsMTIOaC5hYjEwazIxOGhzenIyDmguYmFjMThucmNlcnJ4OAByITFIaklUUGdDNUpOcXUtLVF1TUQxUXVqUHM5aF9LV3RPTA==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2024-09-09T07:57:00Z</dcterms:created>
  <dc:creator>ARCINFO3</dc:creator>
</cp:coreProperties>
</file>